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“Redacted under FOIA section 43, Commercial Interests”</w:t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RM6309</w:t>
      <w:tab/>
      <w:t xml:space="preserve">                                           </w:t>
    </w:r>
  </w:p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7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0"/>
    <w:bookmarkEnd w:id="0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2 (Framework Tender)</w:t>
    </w:r>
  </w:p>
  <w:p w:rsidR="00000000" w:rsidDel="00000000" w:rsidP="00000000" w:rsidRDefault="00000000" w:rsidRPr="00000000" w14:paraId="0000000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24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LlIjuqCQtthBg4Vw/4ad2McNsg==">CgMxLjAyCmlkLjMwajB6bGw4AHIhMXZJS0xTNHZNanhKTG1kS0Itdk1TLUdhY1hNcnVmMldO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2018-06-18T10:59:00Z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